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E124B" w14:textId="77777777" w:rsidR="00AD52DA" w:rsidRPr="00AD52DA" w:rsidRDefault="00AD52DA" w:rsidP="00AD52DA">
      <w:pPr>
        <w:pStyle w:val="BodyText"/>
        <w:spacing w:before="178" w:line="223" w:lineRule="auto"/>
        <w:ind w:right="38"/>
        <w:rPr>
          <w:rFonts w:ascii="Garamond" w:hAnsi="Garamond" w:cs="Times New Roman"/>
          <w:sz w:val="24"/>
          <w:szCs w:val="24"/>
        </w:rPr>
      </w:pPr>
      <w:bookmarkStart w:id="0" w:name="_GoBack"/>
      <w:bookmarkEnd w:id="0"/>
      <w:r w:rsidRPr="00AD52DA">
        <w:rPr>
          <w:rFonts w:ascii="Garamond" w:hAnsi="Garamond" w:cs="Times New Roman"/>
          <w:color w:val="231F20"/>
          <w:sz w:val="24"/>
          <w:szCs w:val="24"/>
        </w:rPr>
        <w:t>The state treasurer serves as Missouri’s chief banking and investing officer. The state treasurer directs the state’s banking services, and oversees Missouri’s state investment portfolio.  In addition, the state treasurer safeguards over $1 billion of unclaimed property that has been turned over to the state.  Moreover, the state treasurer administers multiple programs including the Education Savings Program (MOST 529), the Missouri Empowerment Scholarship Accounts (MO Scholars), the Missouri Achieving a Better Life Experience Program (MO ABLE), and the linked deposit program for small businesses and farmers (MO BUCK$).</w:t>
      </w:r>
    </w:p>
    <w:p w14:paraId="68C089DB" w14:textId="77777777" w:rsidR="00AD52DA" w:rsidRPr="00AD52DA" w:rsidRDefault="00AD52DA" w:rsidP="00AD52DA">
      <w:pPr>
        <w:pStyle w:val="BodyText"/>
        <w:spacing w:before="178" w:line="223" w:lineRule="auto"/>
        <w:ind w:right="38"/>
        <w:rPr>
          <w:rFonts w:ascii="Garamond" w:hAnsi="Garamond" w:cs="Times New Roman"/>
          <w:sz w:val="24"/>
          <w:szCs w:val="24"/>
        </w:rPr>
      </w:pPr>
    </w:p>
    <w:p w14:paraId="5283423D" w14:textId="77777777" w:rsidR="00AD52DA" w:rsidRDefault="00AD52DA" w:rsidP="00AD52DA">
      <w:pPr>
        <w:pStyle w:val="Heading3"/>
        <w:spacing w:before="48"/>
        <w:rPr>
          <w:rFonts w:ascii="Garamond" w:hAnsi="Garamond" w:cs="Times New Roman"/>
          <w:color w:val="231F20"/>
          <w:spacing w:val="-2"/>
          <w:sz w:val="24"/>
          <w:szCs w:val="24"/>
        </w:rPr>
      </w:pPr>
      <w:r w:rsidRPr="00AD52DA">
        <w:rPr>
          <w:rFonts w:ascii="Garamond" w:hAnsi="Garamond" w:cs="Times New Roman"/>
          <w:color w:val="231F20"/>
          <w:sz w:val="24"/>
          <w:szCs w:val="24"/>
        </w:rPr>
        <w:t>Banking</w:t>
      </w:r>
      <w:r w:rsidRPr="00AD52DA">
        <w:rPr>
          <w:rFonts w:ascii="Garamond" w:hAnsi="Garamond" w:cs="Times New Roman"/>
          <w:color w:val="231F20"/>
          <w:spacing w:val="-2"/>
          <w:sz w:val="24"/>
          <w:szCs w:val="24"/>
        </w:rPr>
        <w:t xml:space="preserve"> </w:t>
      </w:r>
      <w:r w:rsidRPr="00AD52DA">
        <w:rPr>
          <w:rFonts w:ascii="Garamond" w:hAnsi="Garamond" w:cs="Times New Roman"/>
          <w:color w:val="231F20"/>
          <w:sz w:val="24"/>
          <w:szCs w:val="24"/>
        </w:rPr>
        <w:t xml:space="preserve">and </w:t>
      </w:r>
      <w:r w:rsidRPr="00AD52DA">
        <w:rPr>
          <w:rFonts w:ascii="Garamond" w:hAnsi="Garamond" w:cs="Times New Roman"/>
          <w:color w:val="231F20"/>
          <w:spacing w:val="-2"/>
          <w:sz w:val="24"/>
          <w:szCs w:val="24"/>
        </w:rPr>
        <w:t>Investments</w:t>
      </w:r>
    </w:p>
    <w:p w14:paraId="270DB80A" w14:textId="77777777" w:rsidR="00AD52DA" w:rsidRDefault="00AD52DA" w:rsidP="00AD52DA">
      <w:pPr>
        <w:pStyle w:val="Heading3"/>
        <w:spacing w:before="48"/>
        <w:rPr>
          <w:rFonts w:ascii="Garamond" w:hAnsi="Garamond" w:cs="Times New Roman"/>
          <w:color w:val="231F20"/>
          <w:sz w:val="24"/>
          <w:szCs w:val="24"/>
        </w:rPr>
      </w:pPr>
    </w:p>
    <w:p w14:paraId="60260B0A" w14:textId="109108DD" w:rsidR="00AD52DA" w:rsidRPr="00AD52DA" w:rsidRDefault="00AD52DA" w:rsidP="00AD52DA">
      <w:pPr>
        <w:pStyle w:val="Heading3"/>
        <w:spacing w:before="48"/>
        <w:rPr>
          <w:rFonts w:ascii="Garamond" w:hAnsi="Garamond" w:cs="Times New Roman"/>
          <w:b w:val="0"/>
          <w:sz w:val="24"/>
          <w:szCs w:val="24"/>
        </w:rPr>
      </w:pPr>
      <w:r w:rsidRPr="00AD52DA">
        <w:rPr>
          <w:rFonts w:ascii="Garamond" w:hAnsi="Garamond" w:cs="Times New Roman"/>
          <w:b w:val="0"/>
          <w:color w:val="231F20"/>
          <w:sz w:val="24"/>
          <w:szCs w:val="24"/>
        </w:rPr>
        <w:t xml:space="preserve">The state treasurer </w:t>
      </w:r>
      <w:r w:rsidRPr="00AD52DA">
        <w:rPr>
          <w:rFonts w:ascii="Garamond" w:hAnsi="Garamond" w:cs="Times New Roman"/>
          <w:b w:val="0"/>
          <w:iCs/>
          <w:color w:val="231F20"/>
          <w:sz w:val="24"/>
          <w:szCs w:val="24"/>
        </w:rPr>
        <w:t>is custodian of state funds and funds received from the United States government. Upon receipt of state and federal funds, the state treasurer ensures the moneys are deposited in selected banking institutions approved by the governor and the state auditor. Moneys not needed for current expenses are invested through various arrangements as provided by law.  The state treasurer prepares, maintains and adheres to a written investment policy which includes an asset allocation plan limiting the total amount of state money which may be invested in each category authorized.</w:t>
      </w:r>
    </w:p>
    <w:p w14:paraId="2E82722C" w14:textId="77777777" w:rsidR="00AD52DA" w:rsidRPr="00AD52DA" w:rsidRDefault="00AD52DA" w:rsidP="00AD52DA">
      <w:pPr>
        <w:pStyle w:val="BodyText"/>
        <w:spacing w:before="57" w:line="223" w:lineRule="auto"/>
        <w:ind w:right="38"/>
        <w:rPr>
          <w:rFonts w:ascii="Garamond" w:hAnsi="Garamond" w:cs="Times New Roman"/>
          <w:sz w:val="24"/>
          <w:szCs w:val="24"/>
        </w:rPr>
      </w:pPr>
    </w:p>
    <w:p w14:paraId="466FFFBF" w14:textId="77777777" w:rsidR="00AD52DA" w:rsidRDefault="00AD52DA" w:rsidP="00AD52DA">
      <w:pPr>
        <w:pStyle w:val="Heading3"/>
        <w:spacing w:before="48"/>
        <w:ind w:left="0"/>
        <w:rPr>
          <w:rFonts w:ascii="Garamond" w:hAnsi="Garamond" w:cs="Times New Roman"/>
          <w:color w:val="231F20"/>
          <w:sz w:val="24"/>
          <w:szCs w:val="24"/>
        </w:rPr>
      </w:pPr>
      <w:r w:rsidRPr="00AD52DA">
        <w:rPr>
          <w:rFonts w:ascii="Garamond" w:hAnsi="Garamond" w:cs="Times New Roman"/>
          <w:color w:val="231F20"/>
          <w:sz w:val="24"/>
          <w:szCs w:val="24"/>
        </w:rPr>
        <w:t xml:space="preserve">Unclaimed Property </w:t>
      </w:r>
    </w:p>
    <w:p w14:paraId="5DD61FAF" w14:textId="77777777" w:rsidR="00AD52DA" w:rsidRDefault="00AD52DA" w:rsidP="00AD52DA">
      <w:pPr>
        <w:pStyle w:val="Heading3"/>
        <w:spacing w:before="48"/>
        <w:ind w:left="0"/>
        <w:rPr>
          <w:rFonts w:ascii="Garamond" w:hAnsi="Garamond" w:cs="Times New Roman"/>
          <w:b w:val="0"/>
          <w:color w:val="231F20"/>
          <w:spacing w:val="-2"/>
          <w:sz w:val="24"/>
          <w:szCs w:val="24"/>
        </w:rPr>
      </w:pPr>
    </w:p>
    <w:p w14:paraId="351C3960" w14:textId="51B31269" w:rsidR="00AD52DA" w:rsidRPr="00AD52DA" w:rsidRDefault="00AD52DA" w:rsidP="00AD52DA">
      <w:pPr>
        <w:pStyle w:val="Heading3"/>
        <w:spacing w:before="48"/>
        <w:ind w:left="0"/>
        <w:rPr>
          <w:rFonts w:ascii="Garamond" w:hAnsi="Garamond" w:cs="Times New Roman"/>
          <w:sz w:val="24"/>
          <w:szCs w:val="24"/>
        </w:rPr>
      </w:pPr>
      <w:r w:rsidRPr="00AD52DA">
        <w:rPr>
          <w:rFonts w:ascii="Garamond" w:hAnsi="Garamond" w:cs="Times New Roman"/>
          <w:b w:val="0"/>
          <w:color w:val="231F20"/>
          <w:spacing w:val="-2"/>
          <w:sz w:val="24"/>
          <w:szCs w:val="24"/>
        </w:rPr>
        <w:t xml:space="preserve">The state treasurer is responsible for safe guarding and returning Missourians’ Unclaimed Property. Each year, financial institutions, businesses, government agencies and other organizations turn over millions of dollars in cash and other property to the state treasurer’s office. Currently, over $1.5 billion in unclaimed assets are held by the state. Through various efforts, the state treasurer creates public awareness of unclaimed property held by the state and works to return assets held to rightful owners.  Individuals can search for unclaimed property via the web at </w:t>
      </w:r>
      <w:r w:rsidRPr="00AD52DA">
        <w:rPr>
          <w:rFonts w:ascii="Garamond" w:hAnsi="Garamond" w:cs="Times New Roman"/>
          <w:color w:val="0070C0"/>
          <w:spacing w:val="-2"/>
          <w:sz w:val="24"/>
          <w:szCs w:val="24"/>
        </w:rPr>
        <w:t>ShowMeMoney.com</w:t>
      </w:r>
      <w:r w:rsidRPr="00AD52DA">
        <w:rPr>
          <w:rFonts w:ascii="Garamond" w:hAnsi="Garamond" w:cs="Times New Roman"/>
          <w:b w:val="0"/>
          <w:color w:val="231F20"/>
          <w:spacing w:val="-2"/>
          <w:sz w:val="24"/>
          <w:szCs w:val="24"/>
        </w:rPr>
        <w:t>.</w:t>
      </w:r>
    </w:p>
    <w:p w14:paraId="16D1F384" w14:textId="77777777" w:rsidR="00AD52DA" w:rsidRPr="00AD52DA" w:rsidRDefault="00AD52DA" w:rsidP="00AD52DA">
      <w:pPr>
        <w:pStyle w:val="Heading2"/>
        <w:spacing w:before="49"/>
        <w:ind w:left="0"/>
        <w:rPr>
          <w:rFonts w:ascii="Garamond" w:hAnsi="Garamond" w:cs="Times New Roman"/>
          <w:color w:val="231F20"/>
          <w:spacing w:val="-2"/>
          <w:sz w:val="24"/>
          <w:szCs w:val="24"/>
        </w:rPr>
      </w:pPr>
    </w:p>
    <w:p w14:paraId="13DB7ACA" w14:textId="77777777" w:rsidR="00AD52DA" w:rsidRDefault="00AD52DA" w:rsidP="00AD52DA">
      <w:pPr>
        <w:pStyle w:val="Heading3"/>
        <w:spacing w:before="48"/>
        <w:ind w:left="120"/>
        <w:rPr>
          <w:rFonts w:ascii="Garamond" w:hAnsi="Garamond" w:cs="Times New Roman"/>
          <w:color w:val="231F20"/>
          <w:spacing w:val="-2"/>
          <w:sz w:val="24"/>
          <w:szCs w:val="24"/>
        </w:rPr>
      </w:pPr>
      <w:r w:rsidRPr="00AD52DA">
        <w:rPr>
          <w:rFonts w:ascii="Garamond" w:hAnsi="Garamond" w:cs="Times New Roman"/>
          <w:color w:val="231F20"/>
          <w:spacing w:val="-2"/>
          <w:sz w:val="24"/>
          <w:szCs w:val="24"/>
        </w:rPr>
        <w:t xml:space="preserve">Education Savings Program (MOST 529) </w:t>
      </w:r>
    </w:p>
    <w:p w14:paraId="0209FF92" w14:textId="77777777" w:rsidR="00AD52DA" w:rsidRDefault="00AD52DA" w:rsidP="00AD52DA">
      <w:pPr>
        <w:pStyle w:val="Heading3"/>
        <w:spacing w:before="48"/>
        <w:ind w:left="120"/>
        <w:rPr>
          <w:rFonts w:ascii="Garamond" w:hAnsi="Garamond" w:cs="Times New Roman"/>
          <w:color w:val="231F20"/>
          <w:sz w:val="24"/>
          <w:szCs w:val="24"/>
        </w:rPr>
      </w:pPr>
    </w:p>
    <w:p w14:paraId="01425DF0" w14:textId="660251D3" w:rsidR="00AD52DA" w:rsidRPr="00AD52DA" w:rsidRDefault="00AD52DA" w:rsidP="00AD52DA">
      <w:pPr>
        <w:pStyle w:val="Heading3"/>
        <w:spacing w:before="48"/>
        <w:ind w:left="120"/>
        <w:rPr>
          <w:rFonts w:ascii="Garamond" w:hAnsi="Garamond" w:cs="Times New Roman"/>
          <w:b w:val="0"/>
          <w:sz w:val="24"/>
          <w:szCs w:val="24"/>
        </w:rPr>
      </w:pPr>
      <w:r w:rsidRPr="00AD52DA">
        <w:rPr>
          <w:rFonts w:ascii="Garamond" w:hAnsi="Garamond" w:cs="Times New Roman"/>
          <w:b w:val="0"/>
          <w:color w:val="231F20"/>
          <w:sz w:val="24"/>
          <w:szCs w:val="24"/>
        </w:rPr>
        <w:t>Established in 1999, the Missouri Education Program (MOST 529) assists Missouri families save for the cost of education and training, K-12 tuition, registered apprenticeships, trade or vocational schools, two to four-year colleges or universities, and graduate school.  In addition, these tax-advantaged investment accounts may be used for qualifying expenses such as books, supplies, room and board, and computer equipment. The beneficiary can be changed at any time, provided that the new beneficiary is an eligible family member of the original beneficiary.  Missourians are also eligible for a state tax deduction.</w:t>
      </w:r>
    </w:p>
    <w:p w14:paraId="6A1A710A" w14:textId="0B9F0697" w:rsidR="00AD52DA" w:rsidRDefault="00AD52DA" w:rsidP="00AD52DA">
      <w:pPr>
        <w:pStyle w:val="Heading2"/>
        <w:spacing w:before="49"/>
        <w:rPr>
          <w:rFonts w:ascii="Garamond" w:hAnsi="Garamond" w:cs="Times New Roman"/>
          <w:color w:val="231F20"/>
          <w:spacing w:val="-2"/>
          <w:sz w:val="24"/>
          <w:szCs w:val="24"/>
        </w:rPr>
      </w:pPr>
    </w:p>
    <w:p w14:paraId="6ECC9835" w14:textId="77777777" w:rsidR="00AD52DA" w:rsidRPr="00AD52DA" w:rsidRDefault="00AD52DA" w:rsidP="00AD52DA">
      <w:pPr>
        <w:pStyle w:val="Heading2"/>
        <w:spacing w:before="49"/>
        <w:rPr>
          <w:rFonts w:ascii="Garamond" w:hAnsi="Garamond" w:cs="Times New Roman"/>
          <w:color w:val="231F20"/>
          <w:spacing w:val="-2"/>
          <w:sz w:val="24"/>
          <w:szCs w:val="24"/>
        </w:rPr>
      </w:pPr>
    </w:p>
    <w:p w14:paraId="711E6A35" w14:textId="77777777" w:rsidR="00AD52DA" w:rsidRDefault="00AD52DA" w:rsidP="00AD52DA">
      <w:pPr>
        <w:pStyle w:val="Heading2"/>
        <w:spacing w:before="49"/>
        <w:rPr>
          <w:rFonts w:ascii="Garamond" w:hAnsi="Garamond" w:cs="Times New Roman"/>
          <w:color w:val="231F20"/>
          <w:spacing w:val="-2"/>
          <w:sz w:val="24"/>
          <w:szCs w:val="24"/>
        </w:rPr>
      </w:pPr>
      <w:r w:rsidRPr="00AD52DA">
        <w:rPr>
          <w:rFonts w:ascii="Garamond" w:hAnsi="Garamond" w:cs="Times New Roman"/>
          <w:color w:val="231F20"/>
          <w:spacing w:val="-2"/>
          <w:sz w:val="24"/>
          <w:szCs w:val="24"/>
        </w:rPr>
        <w:t xml:space="preserve">Missouri Empowerment Scholarship Accounts (MO Scholars) </w:t>
      </w:r>
    </w:p>
    <w:p w14:paraId="666FBA99" w14:textId="77777777" w:rsidR="00AD52DA" w:rsidRDefault="00AD52DA" w:rsidP="00AD52DA">
      <w:pPr>
        <w:pStyle w:val="Heading2"/>
        <w:spacing w:before="49"/>
        <w:rPr>
          <w:rFonts w:ascii="Garamond" w:hAnsi="Garamond" w:cs="Times New Roman"/>
          <w:color w:val="231F20"/>
          <w:sz w:val="24"/>
          <w:szCs w:val="24"/>
        </w:rPr>
      </w:pPr>
    </w:p>
    <w:p w14:paraId="363370A4" w14:textId="36DD64C5" w:rsidR="00AD52DA" w:rsidRPr="00AD52DA" w:rsidRDefault="00AD52DA" w:rsidP="00AD52DA">
      <w:pPr>
        <w:pStyle w:val="Heading2"/>
        <w:spacing w:before="49"/>
        <w:rPr>
          <w:rFonts w:ascii="Garamond" w:hAnsi="Garamond" w:cs="Times New Roman"/>
          <w:b w:val="0"/>
          <w:color w:val="231F20"/>
          <w:spacing w:val="-2"/>
          <w:sz w:val="24"/>
          <w:szCs w:val="24"/>
        </w:rPr>
      </w:pPr>
      <w:r w:rsidRPr="00AD52DA">
        <w:rPr>
          <w:rFonts w:ascii="Garamond" w:hAnsi="Garamond" w:cs="Times New Roman"/>
          <w:b w:val="0"/>
          <w:color w:val="231F20"/>
          <w:sz w:val="24"/>
          <w:szCs w:val="24"/>
        </w:rPr>
        <w:lastRenderedPageBreak/>
        <w:t>In 2021, the Missouri General Assembly established the Missouri Empowerment Scholarship Accounts Program.   The MO Scholars program provides options for eligible families to seek and receive alternative educational services to meet their specific educational needs.  State tax credits are awarded to individuals and businesses who make eligible contributions to an approved, non-profit Educational Assistance Organizations (EAOs).  EAO’s provide scholarships for qualifying students participating in the MO Scholars program.  Each EAO establishes and maintains relationships with eligible schools where scholarship funds may be used.</w:t>
      </w:r>
    </w:p>
    <w:p w14:paraId="6E752309" w14:textId="77777777" w:rsidR="00AD52DA" w:rsidRPr="00AD52DA" w:rsidRDefault="00AD52DA" w:rsidP="00AD52DA">
      <w:pPr>
        <w:pStyle w:val="Heading2"/>
        <w:spacing w:before="49"/>
        <w:rPr>
          <w:rFonts w:ascii="Garamond" w:hAnsi="Garamond" w:cs="Times New Roman"/>
          <w:color w:val="231F20"/>
          <w:spacing w:val="-2"/>
          <w:sz w:val="24"/>
          <w:szCs w:val="24"/>
        </w:rPr>
      </w:pPr>
    </w:p>
    <w:p w14:paraId="15DB101A" w14:textId="77777777" w:rsidR="00AD52DA" w:rsidRDefault="00AD52DA" w:rsidP="00AD52DA">
      <w:pPr>
        <w:pStyle w:val="Heading2"/>
        <w:spacing w:before="49"/>
        <w:rPr>
          <w:rFonts w:ascii="Garamond" w:hAnsi="Garamond" w:cs="Times New Roman"/>
          <w:color w:val="231F20"/>
          <w:spacing w:val="-2"/>
          <w:sz w:val="24"/>
          <w:szCs w:val="24"/>
        </w:rPr>
      </w:pPr>
      <w:r w:rsidRPr="00AD52DA">
        <w:rPr>
          <w:rFonts w:ascii="Garamond" w:hAnsi="Garamond" w:cs="Times New Roman"/>
          <w:color w:val="231F20"/>
          <w:spacing w:val="-2"/>
          <w:sz w:val="24"/>
          <w:szCs w:val="24"/>
        </w:rPr>
        <w:t>Missouri Achieving a Better Life Experience Program (MO ABLE)</w:t>
      </w:r>
    </w:p>
    <w:p w14:paraId="398E834E" w14:textId="77777777" w:rsidR="00AD52DA" w:rsidRDefault="00AD52DA" w:rsidP="00AD52DA">
      <w:pPr>
        <w:pStyle w:val="Heading2"/>
        <w:spacing w:before="49"/>
        <w:rPr>
          <w:rFonts w:ascii="Garamond" w:hAnsi="Garamond" w:cs="Times New Roman"/>
          <w:color w:val="231F20"/>
          <w:sz w:val="24"/>
          <w:szCs w:val="24"/>
        </w:rPr>
      </w:pPr>
    </w:p>
    <w:p w14:paraId="5EF6AAC2" w14:textId="10056208" w:rsidR="00AD52DA" w:rsidRPr="00AD52DA" w:rsidRDefault="00AD52DA" w:rsidP="00AD52DA">
      <w:pPr>
        <w:pStyle w:val="Heading2"/>
        <w:spacing w:before="49"/>
        <w:rPr>
          <w:rFonts w:ascii="Garamond" w:hAnsi="Garamond" w:cs="Times New Roman"/>
          <w:b w:val="0"/>
          <w:color w:val="231F20"/>
          <w:spacing w:val="-2"/>
          <w:sz w:val="24"/>
          <w:szCs w:val="24"/>
        </w:rPr>
      </w:pPr>
      <w:r w:rsidRPr="00AD52DA">
        <w:rPr>
          <w:rFonts w:ascii="Garamond" w:hAnsi="Garamond" w:cs="Times New Roman"/>
          <w:b w:val="0"/>
          <w:color w:val="231F20"/>
          <w:sz w:val="24"/>
          <w:szCs w:val="24"/>
        </w:rPr>
        <w:t>In December 2014, the United States Congress passed the Achieving a Better Life Experience (ABLE) Act. With the passage of the federal ABLE Act, the Missouri General Assembly in 2015 passed legislation creating the Missouri version of the ABLE Act, which is known as MO ABLE. Eligible Missourians with disabilities have the opportunity to open an investment account and save money without losing eligibility for other benefits, such as Medicaid or Supplemental Security Income (SSI).  Earnings from these accounts are not subject to federal and state income tax when spent on qualified expenses.</w:t>
      </w:r>
    </w:p>
    <w:p w14:paraId="3801C5C5" w14:textId="77777777" w:rsidR="00AD52DA" w:rsidRPr="00AD52DA" w:rsidRDefault="00AD52DA" w:rsidP="00AD52DA">
      <w:pPr>
        <w:pStyle w:val="Heading2"/>
        <w:spacing w:before="49"/>
        <w:ind w:left="0"/>
        <w:rPr>
          <w:rFonts w:ascii="Garamond" w:hAnsi="Garamond" w:cs="Times New Roman"/>
          <w:color w:val="231F20"/>
          <w:spacing w:val="-2"/>
          <w:sz w:val="24"/>
          <w:szCs w:val="24"/>
        </w:rPr>
      </w:pPr>
    </w:p>
    <w:p w14:paraId="5EA24B72" w14:textId="77777777" w:rsidR="00AD52DA" w:rsidRDefault="00AD52DA" w:rsidP="00AD52DA">
      <w:pPr>
        <w:pStyle w:val="Heading2"/>
        <w:spacing w:before="49"/>
        <w:ind w:left="0"/>
        <w:rPr>
          <w:rFonts w:ascii="Garamond" w:hAnsi="Garamond" w:cs="Times New Roman"/>
          <w:color w:val="231F20"/>
          <w:spacing w:val="-2"/>
          <w:sz w:val="24"/>
          <w:szCs w:val="24"/>
        </w:rPr>
      </w:pPr>
      <w:r w:rsidRPr="00AD52DA">
        <w:rPr>
          <w:rFonts w:ascii="Garamond" w:hAnsi="Garamond" w:cs="Times New Roman"/>
          <w:color w:val="231F20"/>
          <w:spacing w:val="-2"/>
          <w:sz w:val="24"/>
          <w:szCs w:val="24"/>
        </w:rPr>
        <w:t>Linked-Deposit Loan Program (MOBUCK$)</w:t>
      </w:r>
    </w:p>
    <w:p w14:paraId="7B1F5B11" w14:textId="77777777" w:rsidR="00AD52DA" w:rsidRDefault="00AD52DA" w:rsidP="00AD52DA">
      <w:pPr>
        <w:pStyle w:val="Heading2"/>
        <w:spacing w:before="49"/>
        <w:ind w:left="0"/>
        <w:rPr>
          <w:rFonts w:ascii="Garamond" w:hAnsi="Garamond" w:cs="Times New Roman"/>
          <w:color w:val="231F20"/>
          <w:sz w:val="24"/>
          <w:szCs w:val="24"/>
        </w:rPr>
      </w:pPr>
    </w:p>
    <w:p w14:paraId="045EAF41" w14:textId="1335342D" w:rsidR="00AD52DA" w:rsidRPr="00AD52DA" w:rsidRDefault="00AD52DA" w:rsidP="00AD52DA">
      <w:pPr>
        <w:pStyle w:val="Heading2"/>
        <w:spacing w:before="49"/>
        <w:ind w:left="0"/>
        <w:rPr>
          <w:rFonts w:ascii="Garamond" w:hAnsi="Garamond" w:cs="Times New Roman"/>
          <w:b w:val="0"/>
          <w:color w:val="231F20"/>
          <w:spacing w:val="-2"/>
          <w:sz w:val="24"/>
          <w:szCs w:val="24"/>
        </w:rPr>
      </w:pPr>
      <w:r w:rsidRPr="00AD52DA">
        <w:rPr>
          <w:rFonts w:ascii="Garamond" w:hAnsi="Garamond" w:cs="Times New Roman"/>
          <w:b w:val="0"/>
          <w:color w:val="231F20"/>
          <w:sz w:val="24"/>
          <w:szCs w:val="24"/>
        </w:rPr>
        <w:t>In 1986, the Missouri General Assembly created the linked-deposit loan program, which is known as MO BUCK$.  The State Treasurer’s Office deposits funds with an approved borrower’s qualified banking institution at a below-market interest rate.  Lowering the market rate on deposits permits lenders to pass along a 30 percent interest rate deduction on the borrower’s loan.  As a result, the MO BUCK$ program provides an economic boost to the Missouri economy.  This linked-deposit loan program primarily serves Missouri farmers and ranchers as well as small business owners.</w:t>
      </w:r>
    </w:p>
    <w:p w14:paraId="3F75FAA6" w14:textId="77777777" w:rsidR="00AD52DA" w:rsidRPr="00AD52DA" w:rsidRDefault="00AD52DA" w:rsidP="00AD52DA">
      <w:pPr>
        <w:pStyle w:val="BodyText"/>
        <w:rPr>
          <w:rFonts w:ascii="Garamond" w:hAnsi="Garamond" w:cs="Times New Roman"/>
          <w:color w:val="231F20"/>
          <w:sz w:val="24"/>
          <w:szCs w:val="24"/>
        </w:rPr>
      </w:pPr>
    </w:p>
    <w:p w14:paraId="2C1D8853" w14:textId="7CF58845" w:rsidR="00AD52DA" w:rsidRDefault="00AD52DA" w:rsidP="00AD52DA">
      <w:pPr>
        <w:pStyle w:val="BodyText"/>
        <w:rPr>
          <w:rFonts w:ascii="Garamond" w:hAnsi="Garamond" w:cs="Times New Roman"/>
          <w:b/>
          <w:bCs/>
          <w:color w:val="231F20"/>
          <w:sz w:val="24"/>
          <w:szCs w:val="24"/>
        </w:rPr>
      </w:pPr>
      <w:r w:rsidRPr="00AD52DA">
        <w:rPr>
          <w:rFonts w:ascii="Garamond" w:hAnsi="Garamond" w:cs="Times New Roman"/>
          <w:b/>
          <w:bCs/>
          <w:color w:val="231F20"/>
          <w:sz w:val="24"/>
          <w:szCs w:val="24"/>
        </w:rPr>
        <w:t>Boards and Commissions</w:t>
      </w:r>
    </w:p>
    <w:p w14:paraId="7C4F08BB" w14:textId="77777777" w:rsidR="00AD52DA" w:rsidRDefault="00AD52DA" w:rsidP="00AD52DA">
      <w:pPr>
        <w:pStyle w:val="BodyText"/>
        <w:rPr>
          <w:rFonts w:ascii="Garamond" w:hAnsi="Garamond" w:cs="Times New Roman"/>
          <w:b/>
          <w:bCs/>
          <w:color w:val="231F20"/>
          <w:sz w:val="24"/>
          <w:szCs w:val="24"/>
        </w:rPr>
      </w:pPr>
    </w:p>
    <w:p w14:paraId="04039FB6" w14:textId="409DAEFD" w:rsidR="00AD52DA" w:rsidRPr="00AD52DA" w:rsidRDefault="00AD52DA" w:rsidP="00AD52DA">
      <w:pPr>
        <w:pStyle w:val="BodyText"/>
        <w:rPr>
          <w:rFonts w:ascii="Garamond" w:hAnsi="Garamond" w:cs="Times New Roman"/>
          <w:color w:val="231F20"/>
          <w:sz w:val="24"/>
          <w:szCs w:val="24"/>
        </w:rPr>
      </w:pPr>
      <w:r w:rsidRPr="00AD52DA">
        <w:rPr>
          <w:rFonts w:ascii="Garamond" w:hAnsi="Garamond" w:cs="Times New Roman"/>
          <w:color w:val="231F20"/>
          <w:sz w:val="24"/>
          <w:szCs w:val="24"/>
        </w:rPr>
        <w:t>The state treasurer is a member of several boards, commissions, and trusts in the state.</w:t>
      </w:r>
    </w:p>
    <w:p w14:paraId="1A12CE81" w14:textId="7777777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Missouri Education Plan Board (MOST)</w:t>
      </w:r>
    </w:p>
    <w:p w14:paraId="5E88E5FB" w14:textId="058269FA"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Missouri Empowerment Scholarship Accounts Board (MO Scholars)</w:t>
      </w:r>
    </w:p>
    <w:p w14:paraId="44EBB416" w14:textId="7B7C1EE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Missouri Housing Development Commission (MHDC)</w:t>
      </w:r>
    </w:p>
    <w:p w14:paraId="21688B08" w14:textId="623FF3B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Missouri State Employees’ Retirement System (MOSERS)</w:t>
      </w:r>
    </w:p>
    <w:p w14:paraId="42AA7FFB" w14:textId="7777777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Missouri Achieving a Better Life Experience Board (MO ABLE)</w:t>
      </w:r>
    </w:p>
    <w:p w14:paraId="21FCA45D" w14:textId="7777777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Board of Fund Commissioners</w:t>
      </w:r>
    </w:p>
    <w:p w14:paraId="743A5800" w14:textId="7777777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Missouri Arts Council Trust Fund Board of Trustees</w:t>
      </w:r>
    </w:p>
    <w:p w14:paraId="7D4EFE7E" w14:textId="7777777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Linked Deposits Review Committee</w:t>
      </w:r>
    </w:p>
    <w:p w14:paraId="5A8629C6" w14:textId="77777777" w:rsidR="00AD52DA" w:rsidRPr="00AD52DA" w:rsidRDefault="00AD52DA" w:rsidP="00AD52DA">
      <w:pPr>
        <w:pStyle w:val="BodyText"/>
        <w:numPr>
          <w:ilvl w:val="0"/>
          <w:numId w:val="11"/>
        </w:numPr>
        <w:rPr>
          <w:rFonts w:ascii="Garamond" w:hAnsi="Garamond" w:cs="Times New Roman"/>
          <w:color w:val="231F20"/>
          <w:sz w:val="24"/>
          <w:szCs w:val="24"/>
        </w:rPr>
      </w:pPr>
      <w:r w:rsidRPr="00AD52DA">
        <w:rPr>
          <w:rFonts w:ascii="Garamond" w:hAnsi="Garamond" w:cs="Times New Roman"/>
          <w:color w:val="231F20"/>
          <w:sz w:val="24"/>
          <w:szCs w:val="24"/>
        </w:rPr>
        <w:t>State Historical Society of Missouri</w:t>
      </w:r>
    </w:p>
    <w:p w14:paraId="0643102B" w14:textId="77777777" w:rsidR="0029193B" w:rsidRPr="00650057" w:rsidRDefault="0029193B" w:rsidP="00650057"/>
    <w:sectPr w:rsidR="0029193B" w:rsidRPr="00650057" w:rsidSect="00B350A0">
      <w:headerReference w:type="default" r:id="rId8"/>
      <w:footerReference w:type="default" r:id="rId9"/>
      <w:headerReference w:type="first" r:id="rId10"/>
      <w:footerReference w:type="first" r:id="rId11"/>
      <w:pgSz w:w="12240" w:h="15840"/>
      <w:pgMar w:top="1440" w:right="1440" w:bottom="1440" w:left="1440" w:header="50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AC638" w14:textId="77777777" w:rsidR="009453E7" w:rsidRDefault="009453E7" w:rsidP="00E52F6D">
      <w:pPr>
        <w:spacing w:after="0" w:line="240" w:lineRule="auto"/>
      </w:pPr>
      <w:r>
        <w:separator/>
      </w:r>
    </w:p>
  </w:endnote>
  <w:endnote w:type="continuationSeparator" w:id="0">
    <w:p w14:paraId="74B3299D" w14:textId="77777777" w:rsidR="009453E7" w:rsidRDefault="009453E7" w:rsidP="00E5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blBorders>
      <w:tblLook w:val="04A0" w:firstRow="1" w:lastRow="0" w:firstColumn="1" w:lastColumn="0" w:noHBand="0" w:noVBand="1"/>
    </w:tblPr>
    <w:tblGrid>
      <w:gridCol w:w="9124"/>
      <w:gridCol w:w="236"/>
    </w:tblGrid>
    <w:tr w:rsidR="002D278A" w:rsidRPr="00895A69" w14:paraId="21F5AACF" w14:textId="77777777" w:rsidTr="00431437">
      <w:tc>
        <w:tcPr>
          <w:tcW w:w="9340" w:type="dxa"/>
          <w:tcBorders>
            <w:top w:val="nil"/>
          </w:tcBorders>
        </w:tcPr>
        <w:p w14:paraId="41DBB368" w14:textId="77777777" w:rsidR="002D278A" w:rsidRPr="00895A69" w:rsidRDefault="002D278A" w:rsidP="00E2665F">
          <w:pPr>
            <w:pStyle w:val="Footer"/>
            <w:jc w:val="center"/>
            <w:rPr>
              <w:b/>
              <w:sz w:val="16"/>
              <w:szCs w:val="16"/>
            </w:rPr>
          </w:pPr>
        </w:p>
      </w:tc>
      <w:tc>
        <w:tcPr>
          <w:tcW w:w="236" w:type="dxa"/>
          <w:tcBorders>
            <w:top w:val="nil"/>
          </w:tcBorders>
        </w:tcPr>
        <w:p w14:paraId="247E725A" w14:textId="77777777" w:rsidR="002D278A" w:rsidRPr="00895A69" w:rsidRDefault="002D278A">
          <w:pPr>
            <w:pStyle w:val="Footer"/>
          </w:pPr>
        </w:p>
      </w:tc>
    </w:tr>
  </w:tbl>
  <w:p w14:paraId="68A67EF2" w14:textId="77777777" w:rsidR="002D278A" w:rsidRDefault="002D278A" w:rsidP="00D77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152" w:type="dxa"/>
      <w:tblBorders>
        <w:top w:val="single" w:sz="4" w:space="0" w:color="000000"/>
      </w:tblBorders>
      <w:tblLook w:val="04A0" w:firstRow="1" w:lastRow="0" w:firstColumn="1" w:lastColumn="0" w:noHBand="0" w:noVBand="1"/>
    </w:tblPr>
    <w:tblGrid>
      <w:gridCol w:w="9576"/>
      <w:gridCol w:w="9576"/>
    </w:tblGrid>
    <w:tr w:rsidR="002D278A" w:rsidRPr="00895A69" w14:paraId="3C19CD71" w14:textId="77777777" w:rsidTr="001B7628">
      <w:trPr>
        <w:trHeight w:val="332"/>
      </w:trPr>
      <w:tc>
        <w:tcPr>
          <w:tcW w:w="9576" w:type="dxa"/>
          <w:tcBorders>
            <w:top w:val="nil"/>
          </w:tcBorders>
        </w:tcPr>
        <w:p w14:paraId="27415BF2" w14:textId="7BC33A43" w:rsidR="002D278A" w:rsidRPr="00D77849" w:rsidRDefault="002D278A" w:rsidP="00AD52DA">
          <w:pPr>
            <w:pStyle w:val="Footer"/>
            <w:rPr>
              <w:sz w:val="16"/>
              <w:szCs w:val="16"/>
            </w:rPr>
          </w:pPr>
        </w:p>
      </w:tc>
      <w:tc>
        <w:tcPr>
          <w:tcW w:w="9576" w:type="dxa"/>
          <w:tcBorders>
            <w:top w:val="nil"/>
          </w:tcBorders>
        </w:tcPr>
        <w:p w14:paraId="1171215E" w14:textId="77777777" w:rsidR="002D278A" w:rsidRPr="00895A69" w:rsidRDefault="002D278A" w:rsidP="00431437">
          <w:pPr>
            <w:pStyle w:val="Footer"/>
            <w:rPr>
              <w:b/>
              <w:sz w:val="16"/>
              <w:szCs w:val="16"/>
            </w:rPr>
          </w:pPr>
        </w:p>
      </w:tc>
    </w:tr>
  </w:tbl>
  <w:p w14:paraId="44EB4E07" w14:textId="77777777" w:rsidR="002D278A" w:rsidRDefault="002D2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ED782" w14:textId="77777777" w:rsidR="009453E7" w:rsidRDefault="009453E7" w:rsidP="00E52F6D">
      <w:pPr>
        <w:spacing w:after="0" w:line="240" w:lineRule="auto"/>
      </w:pPr>
      <w:r>
        <w:separator/>
      </w:r>
    </w:p>
  </w:footnote>
  <w:footnote w:type="continuationSeparator" w:id="0">
    <w:p w14:paraId="2CF48838" w14:textId="77777777" w:rsidR="009453E7" w:rsidRDefault="009453E7" w:rsidP="00E5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CC9B" w14:textId="0072782C" w:rsidR="00B250FF" w:rsidRPr="005E40DF" w:rsidRDefault="00AD52DA" w:rsidP="005E40DF">
    <w:pPr>
      <w:pStyle w:val="Header"/>
      <w:jc w:val="right"/>
    </w:pPr>
    <w:r>
      <w:rPr>
        <w:noProof/>
      </w:rPr>
      <w:drawing>
        <wp:inline distT="0" distB="0" distL="0" distR="0" wp14:anchorId="4278E0C3" wp14:editId="0F1C7284">
          <wp:extent cx="1963983" cy="533591"/>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rif.png"/>
                  <pic:cNvPicPr/>
                </pic:nvPicPr>
                <pic:blipFill>
                  <a:blip r:embed="rId1">
                    <a:extLst>
                      <a:ext uri="{28A0092B-C50C-407E-A947-70E740481C1C}">
                        <a14:useLocalDpi xmlns:a14="http://schemas.microsoft.com/office/drawing/2010/main" val="0"/>
                      </a:ext>
                    </a:extLst>
                  </a:blip>
                  <a:stretch>
                    <a:fillRect/>
                  </a:stretch>
                </pic:blipFill>
                <pic:spPr>
                  <a:xfrm>
                    <a:off x="0" y="0"/>
                    <a:ext cx="2043179" cy="5551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2B79" w14:textId="742E129F" w:rsidR="00B250FF" w:rsidRDefault="00AD52DA" w:rsidP="00CA5528">
    <w:pPr>
      <w:pStyle w:val="Header"/>
      <w:spacing w:line="360" w:lineRule="auto"/>
      <w:jc w:val="center"/>
    </w:pPr>
    <w:r>
      <w:rPr>
        <w:noProof/>
      </w:rPr>
      <w:drawing>
        <wp:inline distT="0" distB="0" distL="0" distR="0" wp14:anchorId="268D5F3D" wp14:editId="7499DE26">
          <wp:extent cx="2628101" cy="152519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if.png"/>
                  <pic:cNvPicPr/>
                </pic:nvPicPr>
                <pic:blipFill>
                  <a:blip r:embed="rId1">
                    <a:extLst>
                      <a:ext uri="{28A0092B-C50C-407E-A947-70E740481C1C}">
                        <a14:useLocalDpi xmlns:a14="http://schemas.microsoft.com/office/drawing/2010/main" val="0"/>
                      </a:ext>
                    </a:extLst>
                  </a:blip>
                  <a:stretch>
                    <a:fillRect/>
                  </a:stretch>
                </pic:blipFill>
                <pic:spPr>
                  <a:xfrm>
                    <a:off x="0" y="0"/>
                    <a:ext cx="2669726" cy="1549354"/>
                  </a:xfrm>
                  <a:prstGeom prst="rect">
                    <a:avLst/>
                  </a:prstGeom>
                </pic:spPr>
              </pic:pic>
            </a:graphicData>
          </a:graphic>
        </wp:inline>
      </w:drawing>
    </w:r>
  </w:p>
  <w:p w14:paraId="65D9A489" w14:textId="77777777" w:rsidR="000E22D0" w:rsidRPr="005E40DF" w:rsidRDefault="000E22D0" w:rsidP="000E22D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F73"/>
    <w:multiLevelType w:val="multilevel"/>
    <w:tmpl w:val="D7B4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431C7"/>
    <w:multiLevelType w:val="hybridMultilevel"/>
    <w:tmpl w:val="DAC6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90416"/>
    <w:multiLevelType w:val="multilevel"/>
    <w:tmpl w:val="EA70836E"/>
    <w:lvl w:ilvl="0">
      <w:start w:val="1"/>
      <w:numFmt w:val="bullet"/>
      <w:lvlText w:val=""/>
      <w:lvlJc w:val="left"/>
      <w:pPr>
        <w:tabs>
          <w:tab w:val="num" w:pos="1410"/>
        </w:tabs>
        <w:ind w:left="1410" w:hanging="360"/>
      </w:pPr>
      <w:rPr>
        <w:rFonts w:ascii="Symbol" w:hAnsi="Symbol" w:hint="default"/>
        <w:sz w:val="20"/>
      </w:rPr>
    </w:lvl>
    <w:lvl w:ilvl="1" w:tentative="1">
      <w:start w:val="1"/>
      <w:numFmt w:val="bullet"/>
      <w:lvlText w:val=""/>
      <w:lvlJc w:val="left"/>
      <w:pPr>
        <w:tabs>
          <w:tab w:val="num" w:pos="2130"/>
        </w:tabs>
        <w:ind w:left="2130" w:hanging="360"/>
      </w:pPr>
      <w:rPr>
        <w:rFonts w:ascii="Symbol" w:hAnsi="Symbol" w:hint="default"/>
        <w:sz w:val="20"/>
      </w:rPr>
    </w:lvl>
    <w:lvl w:ilvl="2" w:tentative="1">
      <w:start w:val="1"/>
      <w:numFmt w:val="bullet"/>
      <w:lvlText w:val=""/>
      <w:lvlJc w:val="left"/>
      <w:pPr>
        <w:tabs>
          <w:tab w:val="num" w:pos="2850"/>
        </w:tabs>
        <w:ind w:left="2850" w:hanging="360"/>
      </w:pPr>
      <w:rPr>
        <w:rFonts w:ascii="Symbol" w:hAnsi="Symbol" w:hint="default"/>
        <w:sz w:val="20"/>
      </w:rPr>
    </w:lvl>
    <w:lvl w:ilvl="3" w:tentative="1">
      <w:start w:val="1"/>
      <w:numFmt w:val="bullet"/>
      <w:lvlText w:val=""/>
      <w:lvlJc w:val="left"/>
      <w:pPr>
        <w:tabs>
          <w:tab w:val="num" w:pos="3570"/>
        </w:tabs>
        <w:ind w:left="3570" w:hanging="360"/>
      </w:pPr>
      <w:rPr>
        <w:rFonts w:ascii="Symbol" w:hAnsi="Symbol" w:hint="default"/>
        <w:sz w:val="20"/>
      </w:rPr>
    </w:lvl>
    <w:lvl w:ilvl="4" w:tentative="1">
      <w:start w:val="1"/>
      <w:numFmt w:val="bullet"/>
      <w:lvlText w:val=""/>
      <w:lvlJc w:val="left"/>
      <w:pPr>
        <w:tabs>
          <w:tab w:val="num" w:pos="4290"/>
        </w:tabs>
        <w:ind w:left="4290" w:hanging="360"/>
      </w:pPr>
      <w:rPr>
        <w:rFonts w:ascii="Symbol" w:hAnsi="Symbol" w:hint="default"/>
        <w:sz w:val="20"/>
      </w:rPr>
    </w:lvl>
    <w:lvl w:ilvl="5" w:tentative="1">
      <w:start w:val="1"/>
      <w:numFmt w:val="bullet"/>
      <w:lvlText w:val=""/>
      <w:lvlJc w:val="left"/>
      <w:pPr>
        <w:tabs>
          <w:tab w:val="num" w:pos="5010"/>
        </w:tabs>
        <w:ind w:left="5010" w:hanging="360"/>
      </w:pPr>
      <w:rPr>
        <w:rFonts w:ascii="Symbol" w:hAnsi="Symbol" w:hint="default"/>
        <w:sz w:val="20"/>
      </w:rPr>
    </w:lvl>
    <w:lvl w:ilvl="6" w:tentative="1">
      <w:start w:val="1"/>
      <w:numFmt w:val="bullet"/>
      <w:lvlText w:val=""/>
      <w:lvlJc w:val="left"/>
      <w:pPr>
        <w:tabs>
          <w:tab w:val="num" w:pos="5730"/>
        </w:tabs>
        <w:ind w:left="5730" w:hanging="360"/>
      </w:pPr>
      <w:rPr>
        <w:rFonts w:ascii="Symbol" w:hAnsi="Symbol" w:hint="default"/>
        <w:sz w:val="20"/>
      </w:rPr>
    </w:lvl>
    <w:lvl w:ilvl="7" w:tentative="1">
      <w:start w:val="1"/>
      <w:numFmt w:val="bullet"/>
      <w:lvlText w:val=""/>
      <w:lvlJc w:val="left"/>
      <w:pPr>
        <w:tabs>
          <w:tab w:val="num" w:pos="6450"/>
        </w:tabs>
        <w:ind w:left="6450" w:hanging="360"/>
      </w:pPr>
      <w:rPr>
        <w:rFonts w:ascii="Symbol" w:hAnsi="Symbol" w:hint="default"/>
        <w:sz w:val="20"/>
      </w:rPr>
    </w:lvl>
    <w:lvl w:ilvl="8" w:tentative="1">
      <w:start w:val="1"/>
      <w:numFmt w:val="bullet"/>
      <w:lvlText w:val=""/>
      <w:lvlJc w:val="left"/>
      <w:pPr>
        <w:tabs>
          <w:tab w:val="num" w:pos="7170"/>
        </w:tabs>
        <w:ind w:left="7170" w:hanging="360"/>
      </w:pPr>
      <w:rPr>
        <w:rFonts w:ascii="Symbol" w:hAnsi="Symbol" w:hint="default"/>
        <w:sz w:val="20"/>
      </w:rPr>
    </w:lvl>
  </w:abstractNum>
  <w:abstractNum w:abstractNumId="3" w15:restartNumberingAfterBreak="0">
    <w:nsid w:val="254F029C"/>
    <w:multiLevelType w:val="hybridMultilevel"/>
    <w:tmpl w:val="9DD6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30993"/>
    <w:multiLevelType w:val="multilevel"/>
    <w:tmpl w:val="FCB0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0231F"/>
    <w:multiLevelType w:val="hybridMultilevel"/>
    <w:tmpl w:val="4B6E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46832"/>
    <w:multiLevelType w:val="multilevel"/>
    <w:tmpl w:val="1D6E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1B5563"/>
    <w:multiLevelType w:val="hybridMultilevel"/>
    <w:tmpl w:val="115E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76EE9"/>
    <w:multiLevelType w:val="hybridMultilevel"/>
    <w:tmpl w:val="77EE82EE"/>
    <w:lvl w:ilvl="0" w:tplc="5318181E">
      <w:numFmt w:val="bullet"/>
      <w:lvlText w:val="•"/>
      <w:lvlJc w:val="left"/>
      <w:pPr>
        <w:ind w:left="480" w:hanging="180"/>
      </w:pPr>
      <w:rPr>
        <w:rFonts w:ascii="Optima" w:eastAsia="Optima" w:hAnsi="Optima" w:cs="Optima" w:hint="default"/>
        <w:b w:val="0"/>
        <w:bCs w:val="0"/>
        <w:i w:val="0"/>
        <w:iCs w:val="0"/>
        <w:color w:val="231F20"/>
        <w:spacing w:val="0"/>
        <w:w w:val="100"/>
        <w:sz w:val="16"/>
        <w:szCs w:val="16"/>
        <w:lang w:val="en-US" w:eastAsia="en-US" w:bidi="ar-SA"/>
      </w:rPr>
    </w:lvl>
    <w:lvl w:ilvl="1" w:tplc="B3207558">
      <w:numFmt w:val="bullet"/>
      <w:lvlText w:val="•"/>
      <w:lvlJc w:val="left"/>
      <w:pPr>
        <w:ind w:left="720" w:hanging="180"/>
      </w:pPr>
      <w:rPr>
        <w:rFonts w:ascii="Optima" w:eastAsia="Optima" w:hAnsi="Optima" w:cs="Optima" w:hint="default"/>
        <w:b w:val="0"/>
        <w:bCs w:val="0"/>
        <w:i w:val="0"/>
        <w:iCs w:val="0"/>
        <w:color w:val="231F20"/>
        <w:spacing w:val="0"/>
        <w:w w:val="100"/>
        <w:sz w:val="16"/>
        <w:szCs w:val="16"/>
        <w:lang w:val="en-US" w:eastAsia="en-US" w:bidi="ar-SA"/>
      </w:rPr>
    </w:lvl>
    <w:lvl w:ilvl="2" w:tplc="2168187C">
      <w:numFmt w:val="bullet"/>
      <w:lvlText w:val="•"/>
      <w:lvlJc w:val="left"/>
      <w:pPr>
        <w:ind w:left="1031" w:hanging="180"/>
      </w:pPr>
      <w:rPr>
        <w:rFonts w:hint="default"/>
        <w:lang w:val="en-US" w:eastAsia="en-US" w:bidi="ar-SA"/>
      </w:rPr>
    </w:lvl>
    <w:lvl w:ilvl="3" w:tplc="B816BA6A">
      <w:numFmt w:val="bullet"/>
      <w:lvlText w:val="•"/>
      <w:lvlJc w:val="left"/>
      <w:pPr>
        <w:ind w:left="1342" w:hanging="180"/>
      </w:pPr>
      <w:rPr>
        <w:rFonts w:hint="default"/>
        <w:lang w:val="en-US" w:eastAsia="en-US" w:bidi="ar-SA"/>
      </w:rPr>
    </w:lvl>
    <w:lvl w:ilvl="4" w:tplc="2F14755E">
      <w:numFmt w:val="bullet"/>
      <w:lvlText w:val="•"/>
      <w:lvlJc w:val="left"/>
      <w:pPr>
        <w:ind w:left="1653" w:hanging="180"/>
      </w:pPr>
      <w:rPr>
        <w:rFonts w:hint="default"/>
        <w:lang w:val="en-US" w:eastAsia="en-US" w:bidi="ar-SA"/>
      </w:rPr>
    </w:lvl>
    <w:lvl w:ilvl="5" w:tplc="19E25B84">
      <w:numFmt w:val="bullet"/>
      <w:lvlText w:val="•"/>
      <w:lvlJc w:val="left"/>
      <w:pPr>
        <w:ind w:left="1964" w:hanging="180"/>
      </w:pPr>
      <w:rPr>
        <w:rFonts w:hint="default"/>
        <w:lang w:val="en-US" w:eastAsia="en-US" w:bidi="ar-SA"/>
      </w:rPr>
    </w:lvl>
    <w:lvl w:ilvl="6" w:tplc="7228F90C">
      <w:numFmt w:val="bullet"/>
      <w:lvlText w:val="•"/>
      <w:lvlJc w:val="left"/>
      <w:pPr>
        <w:ind w:left="2275" w:hanging="180"/>
      </w:pPr>
      <w:rPr>
        <w:rFonts w:hint="default"/>
        <w:lang w:val="en-US" w:eastAsia="en-US" w:bidi="ar-SA"/>
      </w:rPr>
    </w:lvl>
    <w:lvl w:ilvl="7" w:tplc="DEE80754">
      <w:numFmt w:val="bullet"/>
      <w:lvlText w:val="•"/>
      <w:lvlJc w:val="left"/>
      <w:pPr>
        <w:ind w:left="2586" w:hanging="180"/>
      </w:pPr>
      <w:rPr>
        <w:rFonts w:hint="default"/>
        <w:lang w:val="en-US" w:eastAsia="en-US" w:bidi="ar-SA"/>
      </w:rPr>
    </w:lvl>
    <w:lvl w:ilvl="8" w:tplc="A5C27FC6">
      <w:numFmt w:val="bullet"/>
      <w:lvlText w:val="•"/>
      <w:lvlJc w:val="left"/>
      <w:pPr>
        <w:ind w:left="2898" w:hanging="180"/>
      </w:pPr>
      <w:rPr>
        <w:rFonts w:hint="default"/>
        <w:lang w:val="en-US" w:eastAsia="en-US" w:bidi="ar-SA"/>
      </w:rPr>
    </w:lvl>
  </w:abstractNum>
  <w:abstractNum w:abstractNumId="9" w15:restartNumberingAfterBreak="0">
    <w:nsid w:val="5CF740C3"/>
    <w:multiLevelType w:val="hybridMultilevel"/>
    <w:tmpl w:val="8D4A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17195"/>
    <w:multiLevelType w:val="hybridMultilevel"/>
    <w:tmpl w:val="7BFC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3"/>
  </w:num>
  <w:num w:numId="6">
    <w:abstractNumId w:val="10"/>
  </w:num>
  <w:num w:numId="7">
    <w:abstractNumId w:val="4"/>
  </w:num>
  <w:num w:numId="8">
    <w:abstractNumId w:val="2"/>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02"/>
    <w:rsid w:val="00027A48"/>
    <w:rsid w:val="00084E2B"/>
    <w:rsid w:val="000856AB"/>
    <w:rsid w:val="000E22D0"/>
    <w:rsid w:val="001A6DF2"/>
    <w:rsid w:val="001B7628"/>
    <w:rsid w:val="001E33B4"/>
    <w:rsid w:val="001F680A"/>
    <w:rsid w:val="002274BA"/>
    <w:rsid w:val="0024141E"/>
    <w:rsid w:val="002712D1"/>
    <w:rsid w:val="0029193B"/>
    <w:rsid w:val="002B2D5E"/>
    <w:rsid w:val="002D278A"/>
    <w:rsid w:val="002F33FF"/>
    <w:rsid w:val="00304AB0"/>
    <w:rsid w:val="00314E40"/>
    <w:rsid w:val="003169AF"/>
    <w:rsid w:val="00357270"/>
    <w:rsid w:val="0037068A"/>
    <w:rsid w:val="003A36EA"/>
    <w:rsid w:val="003D045F"/>
    <w:rsid w:val="003F4AE0"/>
    <w:rsid w:val="00431437"/>
    <w:rsid w:val="00433F57"/>
    <w:rsid w:val="004379F0"/>
    <w:rsid w:val="00444E6C"/>
    <w:rsid w:val="00494E93"/>
    <w:rsid w:val="00532960"/>
    <w:rsid w:val="00550207"/>
    <w:rsid w:val="00561DD8"/>
    <w:rsid w:val="005A1F17"/>
    <w:rsid w:val="005B26F8"/>
    <w:rsid w:val="005E40DF"/>
    <w:rsid w:val="00610974"/>
    <w:rsid w:val="006112BD"/>
    <w:rsid w:val="00613457"/>
    <w:rsid w:val="0061652F"/>
    <w:rsid w:val="0062018D"/>
    <w:rsid w:val="00624E3B"/>
    <w:rsid w:val="00635EEC"/>
    <w:rsid w:val="00650057"/>
    <w:rsid w:val="0069368F"/>
    <w:rsid w:val="006942F5"/>
    <w:rsid w:val="006F7BD4"/>
    <w:rsid w:val="00732EF5"/>
    <w:rsid w:val="007421ED"/>
    <w:rsid w:val="00752F77"/>
    <w:rsid w:val="00761242"/>
    <w:rsid w:val="00786982"/>
    <w:rsid w:val="00854714"/>
    <w:rsid w:val="00895A69"/>
    <w:rsid w:val="008B2F37"/>
    <w:rsid w:val="00910C56"/>
    <w:rsid w:val="009453E7"/>
    <w:rsid w:val="00987867"/>
    <w:rsid w:val="009E084E"/>
    <w:rsid w:val="00A04794"/>
    <w:rsid w:val="00A25C33"/>
    <w:rsid w:val="00A70BBF"/>
    <w:rsid w:val="00A851EE"/>
    <w:rsid w:val="00AA39D3"/>
    <w:rsid w:val="00AB575D"/>
    <w:rsid w:val="00AB6C60"/>
    <w:rsid w:val="00AD52DA"/>
    <w:rsid w:val="00B250FF"/>
    <w:rsid w:val="00B350A0"/>
    <w:rsid w:val="00B35DD5"/>
    <w:rsid w:val="00B57D7D"/>
    <w:rsid w:val="00BD0BFA"/>
    <w:rsid w:val="00C9024D"/>
    <w:rsid w:val="00C96864"/>
    <w:rsid w:val="00CA5528"/>
    <w:rsid w:val="00CB7593"/>
    <w:rsid w:val="00CF4332"/>
    <w:rsid w:val="00D219E6"/>
    <w:rsid w:val="00D73F55"/>
    <w:rsid w:val="00D77849"/>
    <w:rsid w:val="00D958A7"/>
    <w:rsid w:val="00E2665F"/>
    <w:rsid w:val="00E52F6D"/>
    <w:rsid w:val="00EB510C"/>
    <w:rsid w:val="00EC070A"/>
    <w:rsid w:val="00EC1B8E"/>
    <w:rsid w:val="00EF42E9"/>
    <w:rsid w:val="00F56C56"/>
    <w:rsid w:val="00F7756B"/>
    <w:rsid w:val="00FB3002"/>
    <w:rsid w:val="00FD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7DFEF"/>
  <w15:chartTrackingRefBased/>
  <w15:docId w15:val="{F4B13B59-78D7-494C-A3CF-7AF4DBDE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6F8"/>
    <w:pPr>
      <w:spacing w:after="200" w:line="276" w:lineRule="auto"/>
    </w:pPr>
    <w:rPr>
      <w:sz w:val="22"/>
      <w:szCs w:val="22"/>
    </w:rPr>
  </w:style>
  <w:style w:type="paragraph" w:styleId="Heading2">
    <w:name w:val="heading 2"/>
    <w:basedOn w:val="Normal"/>
    <w:link w:val="Heading2Char"/>
    <w:uiPriority w:val="9"/>
    <w:unhideWhenUsed/>
    <w:qFormat/>
    <w:rsid w:val="00AD52DA"/>
    <w:pPr>
      <w:widowControl w:val="0"/>
      <w:autoSpaceDE w:val="0"/>
      <w:autoSpaceDN w:val="0"/>
      <w:spacing w:before="48" w:after="0" w:line="240" w:lineRule="auto"/>
      <w:ind w:left="120"/>
      <w:outlineLvl w:val="1"/>
    </w:pPr>
    <w:rPr>
      <w:rFonts w:ascii="Optima" w:eastAsia="Optima" w:hAnsi="Optima" w:cs="Optima"/>
      <w:b/>
      <w:bCs/>
      <w:sz w:val="16"/>
      <w:szCs w:val="16"/>
    </w:rPr>
  </w:style>
  <w:style w:type="paragraph" w:styleId="Heading3">
    <w:name w:val="heading 3"/>
    <w:basedOn w:val="Normal"/>
    <w:link w:val="Heading3Char"/>
    <w:uiPriority w:val="9"/>
    <w:unhideWhenUsed/>
    <w:qFormat/>
    <w:rsid w:val="00AD52DA"/>
    <w:pPr>
      <w:widowControl w:val="0"/>
      <w:autoSpaceDE w:val="0"/>
      <w:autoSpaceDN w:val="0"/>
      <w:spacing w:after="0" w:line="240" w:lineRule="auto"/>
      <w:ind w:left="60"/>
      <w:outlineLvl w:val="2"/>
    </w:pPr>
    <w:rPr>
      <w:rFonts w:ascii="Optima" w:eastAsia="Optima" w:hAnsi="Optima" w:cs="Opti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F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2F6D"/>
    <w:rPr>
      <w:rFonts w:ascii="Tahoma" w:hAnsi="Tahoma" w:cs="Tahoma"/>
      <w:sz w:val="16"/>
      <w:szCs w:val="16"/>
    </w:rPr>
  </w:style>
  <w:style w:type="paragraph" w:styleId="Header">
    <w:name w:val="header"/>
    <w:basedOn w:val="Normal"/>
    <w:link w:val="HeaderChar"/>
    <w:uiPriority w:val="99"/>
    <w:unhideWhenUsed/>
    <w:rsid w:val="00E52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F6D"/>
  </w:style>
  <w:style w:type="paragraph" w:styleId="Footer">
    <w:name w:val="footer"/>
    <w:basedOn w:val="Normal"/>
    <w:link w:val="FooterChar"/>
    <w:uiPriority w:val="99"/>
    <w:unhideWhenUsed/>
    <w:rsid w:val="00E52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F6D"/>
  </w:style>
  <w:style w:type="table" w:styleId="TableGrid">
    <w:name w:val="Table Grid"/>
    <w:basedOn w:val="TableNormal"/>
    <w:uiPriority w:val="59"/>
    <w:rsid w:val="004314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9193B"/>
    <w:pPr>
      <w:spacing w:beforeLines="1" w:afterLines="1" w:after="0" w:line="240" w:lineRule="auto"/>
    </w:pPr>
    <w:rPr>
      <w:rFonts w:ascii="Times" w:eastAsia="Cambria" w:hAnsi="Times"/>
      <w:sz w:val="20"/>
      <w:szCs w:val="20"/>
    </w:rPr>
  </w:style>
  <w:style w:type="character" w:styleId="Hyperlink">
    <w:name w:val="Hyperlink"/>
    <w:uiPriority w:val="99"/>
    <w:rsid w:val="0029193B"/>
    <w:rPr>
      <w:color w:val="0000FF"/>
      <w:u w:val="single"/>
    </w:rPr>
  </w:style>
  <w:style w:type="paragraph" w:styleId="ListParagraph">
    <w:name w:val="List Paragraph"/>
    <w:basedOn w:val="Normal"/>
    <w:uiPriority w:val="34"/>
    <w:qFormat/>
    <w:rsid w:val="0029193B"/>
    <w:pPr>
      <w:spacing w:after="0" w:line="240" w:lineRule="auto"/>
      <w:ind w:left="720"/>
      <w:contextualSpacing/>
    </w:pPr>
    <w:rPr>
      <w:rFonts w:ascii="Cambria" w:eastAsia="Cambria" w:hAnsi="Cambria"/>
      <w:sz w:val="24"/>
      <w:szCs w:val="24"/>
    </w:rPr>
  </w:style>
  <w:style w:type="character" w:styleId="Strong">
    <w:name w:val="Strong"/>
    <w:uiPriority w:val="22"/>
    <w:qFormat/>
    <w:rsid w:val="00650057"/>
    <w:rPr>
      <w:b/>
      <w:bCs/>
    </w:rPr>
  </w:style>
  <w:style w:type="character" w:customStyle="1" w:styleId="fontsize14px">
    <w:name w:val="fontsize14px"/>
    <w:rsid w:val="00650057"/>
  </w:style>
  <w:style w:type="character" w:customStyle="1" w:styleId="fontsize12px">
    <w:name w:val="fontsize12px"/>
    <w:rsid w:val="00650057"/>
  </w:style>
  <w:style w:type="character" w:customStyle="1" w:styleId="fontsize13px">
    <w:name w:val="fontsize13px"/>
    <w:rsid w:val="00650057"/>
  </w:style>
  <w:style w:type="character" w:customStyle="1" w:styleId="Heading2Char">
    <w:name w:val="Heading 2 Char"/>
    <w:basedOn w:val="DefaultParagraphFont"/>
    <w:link w:val="Heading2"/>
    <w:uiPriority w:val="9"/>
    <w:rsid w:val="00AD52DA"/>
    <w:rPr>
      <w:rFonts w:ascii="Optima" w:eastAsia="Optima" w:hAnsi="Optima" w:cs="Optima"/>
      <w:b/>
      <w:bCs/>
      <w:sz w:val="16"/>
      <w:szCs w:val="16"/>
    </w:rPr>
  </w:style>
  <w:style w:type="character" w:customStyle="1" w:styleId="Heading3Char">
    <w:name w:val="Heading 3 Char"/>
    <w:basedOn w:val="DefaultParagraphFont"/>
    <w:link w:val="Heading3"/>
    <w:uiPriority w:val="9"/>
    <w:rsid w:val="00AD52DA"/>
    <w:rPr>
      <w:rFonts w:ascii="Optima" w:eastAsia="Optima" w:hAnsi="Optima" w:cs="Optima"/>
      <w:b/>
      <w:bCs/>
      <w:sz w:val="16"/>
      <w:szCs w:val="16"/>
    </w:rPr>
  </w:style>
  <w:style w:type="paragraph" w:styleId="BodyText">
    <w:name w:val="Body Text"/>
    <w:basedOn w:val="Normal"/>
    <w:link w:val="BodyTextChar"/>
    <w:uiPriority w:val="1"/>
    <w:qFormat/>
    <w:rsid w:val="00AD52DA"/>
    <w:pPr>
      <w:widowControl w:val="0"/>
      <w:autoSpaceDE w:val="0"/>
      <w:autoSpaceDN w:val="0"/>
      <w:spacing w:after="0" w:line="240" w:lineRule="auto"/>
    </w:pPr>
    <w:rPr>
      <w:rFonts w:ascii="Optima" w:eastAsia="Optima" w:hAnsi="Optima" w:cs="Optima"/>
      <w:sz w:val="16"/>
      <w:szCs w:val="16"/>
    </w:rPr>
  </w:style>
  <w:style w:type="character" w:customStyle="1" w:styleId="BodyTextChar">
    <w:name w:val="Body Text Char"/>
    <w:basedOn w:val="DefaultParagraphFont"/>
    <w:link w:val="BodyText"/>
    <w:uiPriority w:val="1"/>
    <w:rsid w:val="00AD52DA"/>
    <w:rPr>
      <w:rFonts w:ascii="Optima" w:eastAsia="Optima" w:hAnsi="Optima" w:cs="Opti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87063">
      <w:bodyDiv w:val="1"/>
      <w:marLeft w:val="0"/>
      <w:marRight w:val="0"/>
      <w:marTop w:val="0"/>
      <w:marBottom w:val="0"/>
      <w:divBdr>
        <w:top w:val="none" w:sz="0" w:space="0" w:color="auto"/>
        <w:left w:val="none" w:sz="0" w:space="0" w:color="auto"/>
        <w:bottom w:val="none" w:sz="0" w:space="0" w:color="auto"/>
        <w:right w:val="none" w:sz="0" w:space="0" w:color="auto"/>
      </w:divBdr>
    </w:div>
    <w:div w:id="6555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CD6E-06FC-4E3D-B00C-D5FE27B1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Treasurers Office</Company>
  <LinksUpToDate>false</LinksUpToDate>
  <CharactersWithSpaces>5005</CharactersWithSpaces>
  <SharedDoc>false</SharedDoc>
  <HLinks>
    <vt:vector size="36" baseType="variant">
      <vt:variant>
        <vt:i4>3014753</vt:i4>
      </vt:variant>
      <vt:variant>
        <vt:i4>15</vt:i4>
      </vt:variant>
      <vt:variant>
        <vt:i4>0</vt:i4>
      </vt:variant>
      <vt:variant>
        <vt:i4>5</vt:i4>
      </vt:variant>
      <vt:variant>
        <vt:lpwstr>http://www.showmemoney.com/</vt:lpwstr>
      </vt:variant>
      <vt:variant>
        <vt:lpwstr/>
      </vt:variant>
      <vt:variant>
        <vt:i4>4587602</vt:i4>
      </vt:variant>
      <vt:variant>
        <vt:i4>12</vt:i4>
      </vt:variant>
      <vt:variant>
        <vt:i4>0</vt:i4>
      </vt:variant>
      <vt:variant>
        <vt:i4>5</vt:i4>
      </vt:variant>
      <vt:variant>
        <vt:lpwstr>https://treasurer.mo.gov/Military/AllMedals.aspx</vt:lpwstr>
      </vt:variant>
      <vt:variant>
        <vt:lpwstr/>
      </vt:variant>
      <vt:variant>
        <vt:i4>7471227</vt:i4>
      </vt:variant>
      <vt:variant>
        <vt:i4>9</vt:i4>
      </vt:variant>
      <vt:variant>
        <vt:i4>0</vt:i4>
      </vt:variant>
      <vt:variant>
        <vt:i4>5</vt:i4>
      </vt:variant>
      <vt:variant>
        <vt:lpwstr>https://www.missourimost.org/content/home.html</vt:lpwstr>
      </vt:variant>
      <vt:variant>
        <vt:lpwstr/>
      </vt:variant>
      <vt:variant>
        <vt:i4>2424886</vt:i4>
      </vt:variant>
      <vt:variant>
        <vt:i4>6</vt:i4>
      </vt:variant>
      <vt:variant>
        <vt:i4>0</vt:i4>
      </vt:variant>
      <vt:variant>
        <vt:i4>5</vt:i4>
      </vt:variant>
      <vt:variant>
        <vt:lpwstr>http://www.moable.com/</vt:lpwstr>
      </vt:variant>
      <vt:variant>
        <vt:lpwstr/>
      </vt:variant>
      <vt:variant>
        <vt:i4>5898333</vt:i4>
      </vt:variant>
      <vt:variant>
        <vt:i4>3</vt:i4>
      </vt:variant>
      <vt:variant>
        <vt:i4>0</vt:i4>
      </vt:variant>
      <vt:variant>
        <vt:i4>5</vt:i4>
      </vt:variant>
      <vt:variant>
        <vt:lpwstr>https://treasurer.mo.gov/content/low-interest-loans/</vt:lpwstr>
      </vt:variant>
      <vt:variant>
        <vt:lpwstr/>
      </vt:variant>
      <vt:variant>
        <vt:i4>4522074</vt:i4>
      </vt:variant>
      <vt:variant>
        <vt:i4>0</vt:i4>
      </vt:variant>
      <vt:variant>
        <vt:i4>0</vt:i4>
      </vt:variant>
      <vt:variant>
        <vt:i4>5</vt:i4>
      </vt:variant>
      <vt:variant>
        <vt:lpwstr>https://dev.treasurer.mo.gov/content/about-the-office/open-government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Martin</dc:creator>
  <cp:keywords/>
  <cp:lastModifiedBy>Ryan M. Ferrell</cp:lastModifiedBy>
  <cp:revision>2</cp:revision>
  <cp:lastPrinted>2017-03-08T16:51:00Z</cp:lastPrinted>
  <dcterms:created xsi:type="dcterms:W3CDTF">2025-06-02T14:52:00Z</dcterms:created>
  <dcterms:modified xsi:type="dcterms:W3CDTF">2025-06-02T14:52:00Z</dcterms:modified>
</cp:coreProperties>
</file>